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2037"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6F50510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September </w:t>
      </w:r>
      <w:r w:rsidR="006B7345">
        <w:rPr>
          <w:rFonts w:ascii="Times New Roman" w:hAnsi="Times New Roman" w:cs="Times New Roman"/>
          <w:b/>
          <w:bCs/>
          <w:sz w:val="24"/>
          <w:szCs w:val="24"/>
        </w:rPr>
        <w:t>19</w:t>
      </w:r>
      <w:r>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8C09B18"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5A53DE3A"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1700ECF4" w14:textId="77777777" w:rsidR="00812600" w:rsidRDefault="00812600" w:rsidP="004A5BF5">
      <w:pPr>
        <w:pStyle w:val="NoSpacing"/>
        <w:ind w:firstLine="720"/>
        <w:rPr>
          <w:rFonts w:ascii="Times New Roman" w:hAnsi="Times New Roman" w:cs="Times New Roman"/>
          <w:b/>
          <w:bCs/>
          <w:sz w:val="24"/>
          <w:szCs w:val="24"/>
        </w:rPr>
      </w:pPr>
    </w:p>
    <w:p w14:paraId="21855B0C" w14:textId="1DBA8159" w:rsidR="004A5BF5" w:rsidRDefault="004A5BF5" w:rsidP="004A5BF5">
      <w:pPr>
        <w:pStyle w:val="NoSpacing"/>
        <w:ind w:firstLine="720"/>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6B7345">
        <w:rPr>
          <w:rFonts w:ascii="Times New Roman" w:hAnsi="Times New Roman" w:cs="Times New Roman"/>
          <w:sz w:val="24"/>
          <w:szCs w:val="24"/>
        </w:rPr>
        <w:t xml:space="preserve">September </w:t>
      </w:r>
      <w:r w:rsidR="000A7130">
        <w:rPr>
          <w:rFonts w:ascii="Times New Roman" w:hAnsi="Times New Roman" w:cs="Times New Roman"/>
          <w:sz w:val="24"/>
          <w:szCs w:val="24"/>
        </w:rPr>
        <w:t>5</w:t>
      </w:r>
      <w:r>
        <w:rPr>
          <w:rFonts w:ascii="Times New Roman" w:hAnsi="Times New Roman" w:cs="Times New Roman"/>
          <w:sz w:val="24"/>
          <w:szCs w:val="24"/>
        </w:rPr>
        <w:t>, 2024</w:t>
      </w:r>
    </w:p>
    <w:p w14:paraId="0563F959" w14:textId="77777777" w:rsidR="0013295E" w:rsidRDefault="0013295E" w:rsidP="004A5BF5">
      <w:pPr>
        <w:pStyle w:val="NoSpacing"/>
        <w:ind w:firstLine="720"/>
        <w:rPr>
          <w:rFonts w:ascii="Times New Roman" w:hAnsi="Times New Roman" w:cs="Times New Roman"/>
          <w:b/>
          <w:bCs/>
          <w:sz w:val="24"/>
          <w:szCs w:val="24"/>
        </w:rPr>
      </w:pPr>
    </w:p>
    <w:p w14:paraId="14029129" w14:textId="58FD3841" w:rsidR="004A5BF5" w:rsidRPr="0013295E" w:rsidRDefault="0013295E" w:rsidP="004A5BF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21EF8370" w14:textId="77777777" w:rsidR="00812600" w:rsidRDefault="00812600" w:rsidP="004A5BF5">
      <w:pPr>
        <w:pStyle w:val="NoSpacing"/>
        <w:ind w:firstLine="720"/>
        <w:rPr>
          <w:rFonts w:ascii="Times New Roman" w:hAnsi="Times New Roman" w:cs="Times New Roman"/>
          <w:b/>
          <w:bCs/>
          <w:sz w:val="24"/>
          <w:szCs w:val="24"/>
        </w:rPr>
      </w:pPr>
    </w:p>
    <w:p w14:paraId="41879568" w14:textId="198F1A45" w:rsidR="004A5BF5" w:rsidRDefault="004A5BF5" w:rsidP="004A5BF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775BCC10" w14:textId="77777777" w:rsidR="00176402" w:rsidRDefault="00176402" w:rsidP="004A5BF5">
      <w:pPr>
        <w:pStyle w:val="NoSpacing"/>
        <w:ind w:firstLine="720"/>
        <w:rPr>
          <w:rFonts w:ascii="Times New Roman" w:hAnsi="Times New Roman" w:cs="Times New Roman"/>
          <w:b/>
          <w:bCs/>
          <w:sz w:val="24"/>
          <w:szCs w:val="24"/>
        </w:rPr>
      </w:pPr>
    </w:p>
    <w:p w14:paraId="6270EC10"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NEW BUSINESS</w:t>
      </w:r>
    </w:p>
    <w:p w14:paraId="778CDD03" w14:textId="77777777" w:rsidR="009B2D67" w:rsidRDefault="009B2D67"/>
    <w:p w14:paraId="61A2D708" w14:textId="45E3FAF7" w:rsidR="00176402" w:rsidRDefault="004A5BF5" w:rsidP="00176402">
      <w:pPr>
        <w:pStyle w:val="ListParagraph"/>
        <w:numPr>
          <w:ilvl w:val="0"/>
          <w:numId w:val="1"/>
        </w:numPr>
      </w:pPr>
      <w:r w:rsidRPr="00176402">
        <w:rPr>
          <w:b/>
          <w:bCs/>
        </w:rPr>
        <w:t>Resolution 2024-</w:t>
      </w:r>
      <w:r w:rsidR="000A7130">
        <w:rPr>
          <w:b/>
          <w:bCs/>
        </w:rPr>
        <w:t xml:space="preserve">61 – </w:t>
      </w:r>
      <w:r w:rsidR="000A7130">
        <w:t xml:space="preserve">Expressing Support of the Hunterdon County Board of County Commissioners for SCR-81/ACR-58 </w:t>
      </w:r>
      <w:r w:rsidR="00142788">
        <w:t>aimed at increasing the NJ veteran’s property tax deduction to $2,500</w:t>
      </w:r>
    </w:p>
    <w:p w14:paraId="2A59C622" w14:textId="675CDF01" w:rsidR="004A5BF5" w:rsidRDefault="004A5BF5" w:rsidP="00176402">
      <w:pPr>
        <w:pStyle w:val="ListParagraph"/>
      </w:pPr>
    </w:p>
    <w:p w14:paraId="717027CF" w14:textId="665F8913" w:rsidR="00176402" w:rsidRPr="00176402" w:rsidRDefault="004A5BF5" w:rsidP="0034734B">
      <w:pPr>
        <w:pStyle w:val="ListParagraph"/>
        <w:numPr>
          <w:ilvl w:val="0"/>
          <w:numId w:val="2"/>
        </w:numPr>
      </w:pPr>
      <w:r w:rsidRPr="00142788">
        <w:rPr>
          <w:b/>
          <w:bCs/>
        </w:rPr>
        <w:t>Resolution 2024-</w:t>
      </w:r>
      <w:r w:rsidR="00142788" w:rsidRPr="00142788">
        <w:rPr>
          <w:b/>
          <w:bCs/>
        </w:rPr>
        <w:t>62</w:t>
      </w:r>
      <w:r>
        <w:t>-</w:t>
      </w:r>
      <w:r w:rsidR="00142788">
        <w:t xml:space="preserve"> Releasing the Tax Collector to collect taxes for </w:t>
      </w:r>
      <w:r w:rsidR="0046314E">
        <w:t>the year</w:t>
      </w:r>
      <w:r w:rsidR="00142788">
        <w:t xml:space="preserve"> 2023 for unknown properties. </w:t>
      </w:r>
    </w:p>
    <w:p w14:paraId="468A1D8E" w14:textId="2FE051C5" w:rsidR="00DD6AFB" w:rsidRDefault="00DD6AFB">
      <w:pPr>
        <w:rPr>
          <w:b/>
          <w:bCs/>
        </w:rPr>
      </w:pPr>
      <w:r>
        <w:tab/>
      </w:r>
      <w:r>
        <w:rPr>
          <w:b/>
          <w:bCs/>
        </w:rPr>
        <w:t>OLD BUSINESS</w:t>
      </w:r>
    </w:p>
    <w:p w14:paraId="16475AAA" w14:textId="0A7C0A54" w:rsidR="00A13157" w:rsidRDefault="00A13157" w:rsidP="00A13157">
      <w:pPr>
        <w:pStyle w:val="ListParagraph"/>
        <w:numPr>
          <w:ilvl w:val="0"/>
          <w:numId w:val="5"/>
        </w:numPr>
        <w:rPr>
          <w:b/>
          <w:bCs/>
        </w:rPr>
      </w:pPr>
      <w:r>
        <w:rPr>
          <w:b/>
          <w:bCs/>
        </w:rPr>
        <w:t>INTRODUCTION ORDINANCE 2024-03- AN ORDINANCE AMENDING THE REVISED BOROUGH CODE OF THE BOROUGH OF CALIFON BY REPLACING ITS ENTIRETY CHAPTER 15.16 OF TITLE 15 WHICH CHAPTER IS ENTITLED “STORMWATER CONTROL”</w:t>
      </w:r>
    </w:p>
    <w:p w14:paraId="79D5D73E" w14:textId="2E73667B" w:rsidR="00A13157" w:rsidRPr="00A13157" w:rsidRDefault="00A13157" w:rsidP="00A13157">
      <w:r>
        <w:t>*</w:t>
      </w:r>
      <w:proofErr w:type="gramStart"/>
      <w:r>
        <w:t>note</w:t>
      </w:r>
      <w:proofErr w:type="gramEnd"/>
      <w:r>
        <w:t xml:space="preserve"> these changes were previously adopted and now further updates are necessary to comply with the suggestions of the County Planning Board and the NJDEP. </w:t>
      </w:r>
    </w:p>
    <w:p w14:paraId="5527B16C" w14:textId="42647E1F" w:rsidR="006B7345" w:rsidRDefault="006B7345">
      <w:pPr>
        <w:rPr>
          <w:b/>
          <w:bCs/>
        </w:rPr>
      </w:pPr>
      <w:r>
        <w:rPr>
          <w:b/>
          <w:bCs/>
        </w:rPr>
        <w:t>DISCUSSION- SHORT TERM RENTAL</w:t>
      </w:r>
      <w:r w:rsidR="00812600">
        <w:rPr>
          <w:b/>
          <w:bCs/>
        </w:rPr>
        <w:t>S</w:t>
      </w:r>
    </w:p>
    <w:p w14:paraId="5AB784B2" w14:textId="2969232E" w:rsidR="00812600" w:rsidRDefault="00812600">
      <w:pPr>
        <w:rPr>
          <w:b/>
          <w:bCs/>
        </w:rPr>
      </w:pPr>
      <w:r>
        <w:rPr>
          <w:b/>
          <w:bCs/>
        </w:rPr>
        <w:t>PUBLIC COMMENT</w:t>
      </w:r>
    </w:p>
    <w:p w14:paraId="0451D6D3" w14:textId="51E05246" w:rsidR="00515D17" w:rsidRDefault="00A13157" w:rsidP="00812600">
      <w:pPr>
        <w:spacing w:before="276" w:after="0" w:line="276" w:lineRule="exact"/>
        <w:textAlignment w:val="baseline"/>
        <w:rPr>
          <w:rFonts w:eastAsia="Times New Roman" w:cs="Times New Roman"/>
          <w:color w:val="000000"/>
        </w:rPr>
      </w:pPr>
      <w:r>
        <w:rPr>
          <w:b/>
          <w:bCs/>
        </w:rPr>
        <w:t xml:space="preserve">EXECUTIVE SESSION </w:t>
      </w:r>
    </w:p>
    <w:p w14:paraId="18DE7E5A" w14:textId="77777777" w:rsidR="00812600" w:rsidRDefault="00812600" w:rsidP="00812600">
      <w:pPr>
        <w:spacing w:before="276" w:line="276" w:lineRule="exact"/>
        <w:jc w:val="center"/>
        <w:textAlignment w:val="baseline"/>
        <w:rPr>
          <w:rFonts w:eastAsia="Times New Roman" w:cs="Times New Roman"/>
          <w:b/>
          <w:bCs/>
          <w:color w:val="000000"/>
        </w:rPr>
      </w:pPr>
      <w:r>
        <w:rPr>
          <w:rFonts w:eastAsia="Times New Roman" w:cs="Times New Roman"/>
          <w:b/>
          <w:bCs/>
          <w:color w:val="000000"/>
        </w:rPr>
        <w:t xml:space="preserve">RESOLUTION PROVIDING FOR A MEETING NOT OPEN TO THE PUBLIC IN </w:t>
      </w:r>
      <w:r>
        <w:rPr>
          <w:rFonts w:eastAsia="Times New Roman" w:cs="Times New Roman"/>
          <w:b/>
          <w:bCs/>
          <w:color w:val="000000"/>
        </w:rPr>
        <w:br/>
        <w:t>ACCORDANCE WITH THE NEW JERSEY OPEN PUBLIC MEETINGS ACT</w:t>
      </w:r>
    </w:p>
    <w:p w14:paraId="3BCE90B1" w14:textId="77777777" w:rsidR="00812600" w:rsidRDefault="00812600" w:rsidP="00812600">
      <w:pPr>
        <w:spacing w:before="278" w:line="277" w:lineRule="exact"/>
        <w:ind w:right="792"/>
        <w:textAlignment w:val="baseline"/>
        <w:rPr>
          <w:rFonts w:eastAsia="Times New Roman" w:cs="Times New Roman"/>
          <w:color w:val="000000"/>
        </w:rPr>
      </w:pPr>
      <w:r>
        <w:rPr>
          <w:rFonts w:eastAsia="Times New Roman" w:cs="Times New Roman"/>
          <w:color w:val="000000"/>
        </w:rPr>
        <w:lastRenderedPageBreak/>
        <w:t>BE IT RESOLVED by the Borough Council of the Borough of Califon that an Executive Session, not open to the public, shall be held immediately following the adoption of this Resolution for</w:t>
      </w:r>
    </w:p>
    <w:p w14:paraId="606FC231" w14:textId="77777777" w:rsidR="00812600" w:rsidRDefault="00812600" w:rsidP="00812600">
      <w:pPr>
        <w:spacing w:before="278" w:line="277" w:lineRule="exact"/>
        <w:ind w:right="792"/>
        <w:textAlignment w:val="baseline"/>
        <w:rPr>
          <w:rFonts w:eastAsia="Times New Roman" w:cs="Times New Roman"/>
          <w:color w:val="000000"/>
        </w:rPr>
      </w:pPr>
      <w:r>
        <w:rPr>
          <w:rFonts w:eastAsia="Times New Roman" w:cs="Times New Roman"/>
          <w:color w:val="000000"/>
        </w:rPr>
        <w:t>attorney-client discussion with the Borough Attorney.</w:t>
      </w:r>
      <w:r>
        <w:rPr>
          <w:rFonts w:eastAsia="Times New Roman" w:cs="Times New Roman"/>
          <w:color w:val="000000"/>
        </w:rPr>
        <w:t xml:space="preserve"> </w:t>
      </w:r>
    </w:p>
    <w:p w14:paraId="1A85109A" w14:textId="34955878" w:rsidR="00812600" w:rsidRDefault="00812600" w:rsidP="00812600">
      <w:pPr>
        <w:spacing w:before="278" w:line="277" w:lineRule="exact"/>
        <w:ind w:right="792"/>
        <w:textAlignment w:val="baseline"/>
        <w:rPr>
          <w:rFonts w:eastAsia="Times New Roman" w:cs="Times New Roman"/>
          <w:color w:val="000000"/>
        </w:rPr>
      </w:pPr>
      <w:r>
        <w:rPr>
          <w:rFonts w:eastAsia="Times New Roman" w:cs="Times New Roman"/>
          <w:color w:val="000000"/>
        </w:rPr>
        <w:t xml:space="preserve">At the conclusion of the Executive Session, the regular meeting will continue, and further public discussion and action may </w:t>
      </w:r>
      <w:proofErr w:type="spellStart"/>
      <w:proofErr w:type="gramStart"/>
      <w:r>
        <w:rPr>
          <w:rFonts w:eastAsia="Times New Roman" w:cs="Times New Roman"/>
          <w:color w:val="000000"/>
        </w:rPr>
        <w:t>occur.It</w:t>
      </w:r>
      <w:proofErr w:type="spellEnd"/>
      <w:proofErr w:type="gramEnd"/>
      <w:r>
        <w:rPr>
          <w:rFonts w:eastAsia="Times New Roman" w:cs="Times New Roman"/>
          <w:color w:val="000000"/>
        </w:rPr>
        <w:t xml:space="preserve"> is anticipated that minutes of the Executive Session may be disclosed to the public as to </w:t>
      </w:r>
    </w:p>
    <w:p w14:paraId="7DDA9C37" w14:textId="77777777" w:rsidR="00812600" w:rsidRDefault="00812600" w:rsidP="00812600">
      <w:pPr>
        <w:spacing w:before="274" w:after="577" w:line="276" w:lineRule="exact"/>
        <w:ind w:right="648"/>
        <w:textAlignment w:val="baseline"/>
        <w:rPr>
          <w:rFonts w:eastAsia="Times New Roman" w:cs="Times New Roman"/>
          <w:color w:val="000000"/>
        </w:rPr>
      </w:pPr>
      <w:proofErr w:type="gramStart"/>
      <w:r>
        <w:rPr>
          <w:rFonts w:eastAsia="Times New Roman" w:cs="Times New Roman"/>
          <w:color w:val="000000"/>
        </w:rPr>
        <w:t>as</w:t>
      </w:r>
      <w:proofErr w:type="gramEnd"/>
      <w:r>
        <w:rPr>
          <w:rFonts w:eastAsia="Times New Roman" w:cs="Times New Roman"/>
          <w:color w:val="000000"/>
        </w:rPr>
        <w:t xml:space="preserve"> to discussions with the Borough Attorney, since the attorney-client privilege has no specific expiration date, the Borough Council may disclose the minutes when it determines that the public interest no longer requires confidentiality.</w:t>
      </w:r>
    </w:p>
    <w:p w14:paraId="77B15B74" w14:textId="48893E6C" w:rsidR="0013295E" w:rsidRDefault="00176402" w:rsidP="00176402">
      <w:pPr>
        <w:rPr>
          <w:rFonts w:cs="Times New Roman"/>
          <w:b/>
          <w:bCs/>
          <w:szCs w:val="24"/>
        </w:rPr>
      </w:pPr>
      <w:r>
        <w:rPr>
          <w:rFonts w:cs="Times New Roman"/>
          <w:b/>
          <w:bCs/>
          <w:szCs w:val="24"/>
        </w:rPr>
        <w:t>COMMITTEE REPORT</w:t>
      </w:r>
    </w:p>
    <w:p w14:paraId="3B49E8A9" w14:textId="3A79C065" w:rsidR="00176402" w:rsidRPr="00176402" w:rsidRDefault="00176402" w:rsidP="00176402">
      <w:pPr>
        <w:rPr>
          <w:rFonts w:cs="Times New Roman"/>
          <w:b/>
          <w:bCs/>
          <w:szCs w:val="24"/>
        </w:rPr>
      </w:pPr>
      <w:r>
        <w:rPr>
          <w:rFonts w:cs="Times New Roman"/>
          <w:b/>
          <w:bCs/>
          <w:szCs w:val="24"/>
        </w:rPr>
        <w:t>MAYOR’S REPORT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0"/>
  </w:num>
  <w:num w:numId="2" w16cid:durableId="771170235">
    <w:abstractNumId w:val="3"/>
  </w:num>
  <w:num w:numId="3" w16cid:durableId="1046291355">
    <w:abstractNumId w:val="2"/>
  </w:num>
  <w:num w:numId="4" w16cid:durableId="2823196">
    <w:abstractNumId w:val="4"/>
  </w:num>
  <w:num w:numId="5" w16cid:durableId="135792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7081A"/>
    <w:rsid w:val="000A7130"/>
    <w:rsid w:val="0013295E"/>
    <w:rsid w:val="00142788"/>
    <w:rsid w:val="0015074B"/>
    <w:rsid w:val="00176402"/>
    <w:rsid w:val="001866C1"/>
    <w:rsid w:val="001B7F9D"/>
    <w:rsid w:val="002B4AAB"/>
    <w:rsid w:val="002D6DE3"/>
    <w:rsid w:val="002F7541"/>
    <w:rsid w:val="003F6E18"/>
    <w:rsid w:val="0046314E"/>
    <w:rsid w:val="004A5BF5"/>
    <w:rsid w:val="00515D17"/>
    <w:rsid w:val="005840DD"/>
    <w:rsid w:val="005F3F60"/>
    <w:rsid w:val="00650148"/>
    <w:rsid w:val="006B7345"/>
    <w:rsid w:val="00812600"/>
    <w:rsid w:val="00814911"/>
    <w:rsid w:val="0088351B"/>
    <w:rsid w:val="009B2D67"/>
    <w:rsid w:val="009F3E63"/>
    <w:rsid w:val="00A13157"/>
    <w:rsid w:val="00A16133"/>
    <w:rsid w:val="00A26CA7"/>
    <w:rsid w:val="00B139AA"/>
    <w:rsid w:val="00B8141E"/>
    <w:rsid w:val="00BD31AB"/>
    <w:rsid w:val="00C47607"/>
    <w:rsid w:val="00C862D0"/>
    <w:rsid w:val="00CC7229"/>
    <w:rsid w:val="00D03101"/>
    <w:rsid w:val="00D1453D"/>
    <w:rsid w:val="00D20989"/>
    <w:rsid w:val="00DD6AFB"/>
    <w:rsid w:val="00DE7888"/>
    <w:rsid w:val="00E0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1812</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2024-09-18T15:47:00Z</dcterms:created>
  <dcterms:modified xsi:type="dcterms:W3CDTF">2024-09-18T15:47:00Z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